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firstLineChars="0"/>
        <w:jc w:val="center"/>
        <w:textAlignment w:val="auto"/>
        <w:outlineLvl w:val="9"/>
        <w:rPr>
          <w:rFonts w:hint="eastAsia" w:ascii="黑体" w:hAnsi="黑体" w:eastAsia="黑体" w:cs="黑体"/>
          <w:sz w:val="44"/>
          <w:szCs w:val="44"/>
        </w:rPr>
      </w:pPr>
      <w:r>
        <w:rPr>
          <w:rFonts w:hint="eastAsia" w:ascii="黑体" w:hAnsi="黑体" w:eastAsia="黑体" w:cs="黑体"/>
          <w:sz w:val="44"/>
          <w:szCs w:val="44"/>
          <w:lang w:val="en-US" w:eastAsia="zh-CN"/>
        </w:rPr>
        <w:t xml:space="preserve">第八讲 </w:t>
      </w:r>
      <w:r>
        <w:rPr>
          <w:rFonts w:hint="eastAsia" w:ascii="黑体" w:hAnsi="黑体" w:eastAsia="黑体" w:cs="黑体"/>
          <w:sz w:val="44"/>
          <w:szCs w:val="44"/>
        </w:rPr>
        <w:t>成人原发免疫性血小板减少症</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firstLineChars="0"/>
        <w:jc w:val="center"/>
        <w:textAlignment w:val="auto"/>
        <w:outlineLvl w:val="9"/>
        <w:rPr>
          <w:rFonts w:hint="eastAsia" w:ascii="黑体" w:hAnsi="黑体" w:eastAsia="黑体" w:cs="黑体"/>
          <w:sz w:val="44"/>
          <w:szCs w:val="44"/>
        </w:rPr>
      </w:pPr>
      <w:r>
        <w:rPr>
          <w:rFonts w:hint="eastAsia" w:ascii="黑体" w:hAnsi="黑体" w:eastAsia="黑体" w:cs="黑体"/>
          <w:sz w:val="44"/>
          <w:szCs w:val="44"/>
        </w:rPr>
        <w:t>诊断与治疗</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福建医科大学附属漳州市医院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林聪猛</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原发免疫性血小板减少症(primary</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immune thrombocytopenia，ITP)既往亦称特发性血小板减少性紫癜，是一种获得性自身免疫性出血性疾病，约占出血性疾病总数的1／3。成人的年发病率为5～10／10万，育龄期女性发病率高于同年龄组男性，60岁以上老年人是该病的高发群体。死亡率约4％，无明显性别差异。临床表现以皮肤、粘膜出血为主，严重者可发生内脏出血，甚至颅内出血，出血风险随年龄增长而增加。部分患者仅有血小板减少而没有出血症状。该病根据起病长短分为急性、慢性ITP。长期以来，ITP的诊断方法一直是临床排除性诊断，缺乏特异的实验室检查指标。骨髓穿刺是诊断ITP的一种常规技术手段，可以用来排除骨髓增生异常综合征等继发性血小板减少症。笔者综合相关资料，就该病的发病机制、临床表现、诊断及治疗做如下介绍。</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一、发病机制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1、B细胞介导的体液免疫异常</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B细胞产生的自身抗体不但可以加速血小板破坏，还可黏附于巨核细胞表面，影响巨核细胞的成熟，影响血小板生成，在ITP发病中发挥重要作用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尽管细胞毒T淋巴细胞(cytotoxic T cell，Tc)介导的自身血小板溶解是导致血小板破坏的机制之一，但典型的B细胞介导的体液免疫异常，仍被认为是ITP的主要发病机制。</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2、细胞免疫方面</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研究表明，多种T细胞与原发性免疫性血小板减少症的发病有关，包括了Th1、Th2、Th17、Th22、调节性T细胞 （regulatory T cell，Tregs）、滤泡辅助性T细胞（Follicular helper T cells，Tfh）等。</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3、其他因素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部分ITP患者发病前1-2周有先行感染史，可以检测到如EB病毒、CMV病毒、流感病毒、水痘、带状疱疹病毒等，故认为急性感染发生的炎症反应打破了易感个体的免疫平衡，从而导致ITP的发生。还有部分ITP患者，通过根除幽门螺杆菌可治疗幽门螺杆菌相关ITP，提示ITP的发生与幽门螺杆菌感染有一定相关性。此外，调查发现，2．2％的儿童和成人慢性ITP患者有ITP家族史，提示ITP可能存在遗传易感性。</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二、临床表现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起病：成人ITP一般起病隐袭</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出血倾向：</w:t>
      </w:r>
      <w:r>
        <w:rPr>
          <w:rFonts w:hint="eastAsia" w:ascii="仿宋_GB2312" w:hAnsi="仿宋_GB2312" w:eastAsia="仿宋_GB2312" w:cs="仿宋_GB2312"/>
          <w:sz w:val="32"/>
          <w:szCs w:val="32"/>
        </w:rPr>
        <w:t>多数症状轻而局限，但易反复发生。可表现为皮肤、粘膜出血，如瘀点、瘀斑、紫癜及外伤后出血不止等，紫癜和瘀斑可发生与皮肤、粘膜的任何部位，但最常见于下肢或上肢的远端。鼻腔出血、牙龈出血也是ITP常见的临床表现之一。严重的内脏出血较少见，但月经过多较常见，在部分患者可为唯一的临床症状。患者病情可因感染而骤然加重，出现广泛、严重的粘膜、内脏出血。部分患者无出血表现，通过偶然的血常规检查发现血小板减少。</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乏力：</w:t>
      </w:r>
      <w:r>
        <w:rPr>
          <w:rFonts w:hint="eastAsia" w:ascii="仿宋_GB2312" w:hAnsi="仿宋_GB2312" w:eastAsia="仿宋_GB2312" w:cs="仿宋_GB2312"/>
          <w:sz w:val="32"/>
          <w:szCs w:val="32"/>
        </w:rPr>
        <w:t>乏力是ITP的临床症状之一，部分患者表现得更加明显。</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血栓形成倾向：</w:t>
      </w:r>
      <w:r>
        <w:rPr>
          <w:rFonts w:hint="eastAsia" w:ascii="仿宋_GB2312" w:hAnsi="仿宋_GB2312" w:eastAsia="仿宋_GB2312" w:cs="仿宋_GB2312"/>
          <w:sz w:val="32"/>
          <w:szCs w:val="32"/>
        </w:rPr>
        <w:t>ITP不仅是一种出血性疾病，也是一种血栓前疾病。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其他：</w:t>
      </w:r>
      <w:r>
        <w:rPr>
          <w:rFonts w:hint="eastAsia" w:ascii="仿宋_GB2312" w:hAnsi="仿宋_GB2312" w:eastAsia="仿宋_GB2312" w:cs="仿宋_GB2312"/>
          <w:sz w:val="32"/>
          <w:szCs w:val="32"/>
        </w:rPr>
        <w:t>长期月经过多等，可以导致失血性贫血。</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三、诊断要点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ITP的诊断是临床排除性诊断，其诊断要点如下：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 xml:space="preserve">至少2次血常规检查示血小板计数减少，血细胞形态无异常。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 xml:space="preserve">脾脏一般不增大或仅有轻度增大。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骨髓检查：</w:t>
      </w:r>
      <w:r>
        <w:rPr>
          <w:rFonts w:hint="eastAsia" w:ascii="仿宋_GB2312" w:hAnsi="仿宋_GB2312" w:eastAsia="仿宋_GB2312" w:cs="仿宋_GB2312"/>
          <w:sz w:val="32"/>
          <w:szCs w:val="32"/>
        </w:rPr>
        <w:t xml:space="preserve">巨核细胞数增多或正常、有成熟障碍。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须排除其他继发性血小板减少症：</w:t>
      </w:r>
      <w:r>
        <w:rPr>
          <w:rFonts w:hint="eastAsia" w:ascii="仿宋_GB2312" w:hAnsi="仿宋_GB2312" w:eastAsia="仿宋_GB2312" w:cs="仿宋_GB2312"/>
          <w:sz w:val="32"/>
          <w:szCs w:val="32"/>
        </w:rPr>
        <w:t xml:space="preserve">如自身免疫性疾病、甲状腺疾病、淋巴系统增殖性疾病、骨髓增生异常(再生障碍性贫血和骨髓增生异常综合征)、恶性血液病、慢性肝病脾功能亢进、常见变异性免疫缺陷病(CVID)以及感染等所致的继发性血小板减少，血小板消耗性减少，药物诱导的血小板减少，同种免疫性血小板减少，妊娠血小板减少，假性血小板减少以及先天性血小板减少等。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诊断ITP的特殊实验室检查：①血小板抗体的检测：</w:t>
      </w:r>
      <w:r>
        <w:rPr>
          <w:rFonts w:hint="eastAsia" w:ascii="仿宋_GB2312" w:hAnsi="仿宋_GB2312" w:eastAsia="仿宋_GB2312" w:cs="仿宋_GB2312"/>
          <w:sz w:val="32"/>
          <w:szCs w:val="32"/>
        </w:rPr>
        <w:t xml:space="preserve">可以鉴别免疫性与非免疫性血小板减少，有助于ITP的诊断。主要应用于下述情况：骨髓衰竭合并免疫性血小板减少；一线及二线 治疗无效的ITP患者；药物性血小板减少；单克隆丙种球蛋白血症和获得性自身抗体介导的血小板无力症等罕见的复杂疾病。但该试验不能鉴别原发性ITP与继发性ITP。②血小板生成素(TPO)检测：可以鉴别血小板生成减少(TPO水平升高)和血小板破坏增加(TPO水平正常)，有助于鉴别ITP与不典型再生障碍性贫血或低增生性骨髓增生异常综合征。上述项目不作为ITP的常规检测。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疾病的分期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新诊断的ITP：</w:t>
      </w:r>
      <w:r>
        <w:rPr>
          <w:rFonts w:hint="eastAsia" w:ascii="仿宋_GB2312" w:hAnsi="仿宋_GB2312" w:eastAsia="仿宋_GB2312" w:cs="仿宋_GB2312"/>
          <w:sz w:val="32"/>
          <w:szCs w:val="32"/>
        </w:rPr>
        <w:t xml:space="preserve">确诊后3个月以内的ITP 患者。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持续性ITP：</w:t>
      </w:r>
      <w:r>
        <w:rPr>
          <w:rFonts w:hint="eastAsia" w:ascii="仿宋_GB2312" w:hAnsi="仿宋_GB2312" w:eastAsia="仿宋_GB2312" w:cs="仿宋_GB2312"/>
          <w:sz w:val="32"/>
          <w:szCs w:val="32"/>
        </w:rPr>
        <w:t xml:space="preserve">确诊后3～12个月血小板持续减少的ITP患者，包括没有自发缓解和停止治疗后不能维持完全缓解的患者。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慢性ITP：</w:t>
      </w:r>
      <w:r>
        <w:rPr>
          <w:rFonts w:hint="eastAsia" w:ascii="仿宋_GB2312" w:hAnsi="仿宋_GB2312" w:eastAsia="仿宋_GB2312" w:cs="仿宋_GB2312"/>
          <w:sz w:val="32"/>
          <w:szCs w:val="32"/>
        </w:rPr>
        <w:t xml:space="preserve">指血小板持续减少超过12个月的 ITP患者。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重症ITP：</w:t>
      </w:r>
      <w:r>
        <w:rPr>
          <w:rFonts w:hint="eastAsia" w:ascii="仿宋_GB2312" w:hAnsi="仿宋_GB2312" w:eastAsia="仿宋_GB2312" w:cs="仿宋_GB2312"/>
          <w:sz w:val="32"/>
          <w:szCs w:val="32"/>
        </w:rPr>
        <w:t xml:space="preserve">PLT&lt;10×l09／L且就诊时存在需要治疗的出血症状或常规治疗中发生新的出血而需要加用其他升血小板药物治疗或增加现有治疗药物剂量。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难治性ITP：</w:t>
      </w:r>
      <w:r>
        <w:rPr>
          <w:rFonts w:hint="eastAsia" w:ascii="仿宋_GB2312" w:hAnsi="仿宋_GB2312" w:eastAsia="仿宋_GB2312" w:cs="仿宋_GB2312"/>
          <w:sz w:val="32"/>
          <w:szCs w:val="32"/>
        </w:rPr>
        <w:t xml:space="preserve">指满足以下所有条件的患者：①进行诊断再评估仍确诊为ITP；②脾切除无效或术后复发。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 xml:space="preserve">四、治疗原则及方案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治疗原则：</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(1)PLT≥30×109／L、无出血表现且不从事增加出血危险工作(或活动)的成人ITP患者发生出血的危险|生比较小，可予观察和随访。</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(2)以下因素增加出血风险：①出血风险随患者年龄增长和患病时间延长而增高；②血小板功能缺陷；③凝血因子缺陷；④未被控制的高血压；⑤外科手术或外伤；⑥感染；⑦服用阿司匹林、非甾体类抗炎药、华法林等抗凝药物。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(3)若患者有出血症状，无论血小板减少程度如何，都应积极治疗。在下列临床过程中，血小板计数的参考值分别为：口腔科检查：≥20×109／L；拔牙或补牙：≥30×109／L；小手术：≥50×109／L；大手术：≥80×109／L；自然分娩：≥50×109／L；剖腹产：≥80×109／L。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紧急治疗：</w:t>
      </w:r>
      <w:r>
        <w:rPr>
          <w:rFonts w:hint="eastAsia" w:ascii="仿宋_GB2312" w:hAnsi="仿宋_GB2312" w:eastAsia="仿宋_GB2312" w:cs="仿宋_GB2312"/>
          <w:sz w:val="32"/>
          <w:szCs w:val="32"/>
        </w:rPr>
        <w:t xml:space="preserve">重症ITP患者(PLT&lt;10×109／L)发生胃肠道、泌尿生殖道、中枢神经系统或其他部位的活动性出血或需要急诊手术时，应迅速提高血小板计数至50×109／L以上。对于病情十分危急，需要立即提升血小板水平的患者应给予随机供者的血小板输注，还可选用静脉输注丙种球蛋白(IVIg)(1000mg·kg-1·d-1×1～2d)和(或)甲泼尼龙(1 000mg·d-1×3d)和(或)促血小板生成药物。其他治疗措施包括停用抑制血小板功能的药物、控制高血压、局部加压止血、口服避孕药控制月经过多，以及应用纤溶抑制剂(如止血环酸、6一氨基已酸)等。如上述治疗措施仍不能控制出血，可以考虑使用重组人活化因子Ⅶ(rhFⅦa)。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新诊断ITP的一线治疗</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(1)肾上腺糖皮质激素：</w:t>
      </w:r>
      <w:r>
        <w:rPr>
          <w:rFonts w:hint="eastAsia" w:ascii="仿宋_GB2312" w:hAnsi="仿宋_GB2312" w:eastAsia="仿宋_GB2312" w:cs="仿宋_GB2312"/>
          <w:sz w:val="32"/>
          <w:szCs w:val="32"/>
        </w:rPr>
        <w:t xml:space="preserve">①大剂量地塞米松(HD—DXM)：40mg／d×4d，建议口服用药，无效患者可在半个月后重复1个疗程。治疗过程中应注意监测血压、血糖的变化，预防感染，保护胃黏膜。②泼尼松：起始剂量为1．0 mg·kg-1·d-1(分次或顿服)，病情稳定后快速减至最小维持量(&lt;15mg／d)，如不能维持，应考虑二线治疗，治疗4周仍无反应，说明泼尼松治疗无效，应迅速减量至停用。在糖皮质激素治疗时要充分考虑到药物长期应用可能出现的不良反应。长期应用糖皮质激素治疗的部分患者可出现骨质疏松、股骨头坏死，应及时进行检查并给予二膦酸盐预防治疗。长期应用糖皮质激素还可出现高血压、糖尿病、急性胃黏膜病变等不良反应，也应及时检查处理。另外，HBV DNA复制水平较高的患者慎用糖皮质激素，治疗方案的制定应参照“中国慢性乙型肝炎防治指南”。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(2)IVIg：</w:t>
      </w:r>
      <w:r>
        <w:rPr>
          <w:rFonts w:hint="eastAsia" w:ascii="仿宋_GB2312" w:hAnsi="仿宋_GB2312" w:eastAsia="仿宋_GB2312" w:cs="仿宋_GB2312"/>
          <w:sz w:val="32"/>
          <w:szCs w:val="32"/>
        </w:rPr>
        <w:t xml:space="preserve">主要用于：①ITP的紧急治疗；②不能耐受肾上腺糖皮质激素的患者；③脾切除术前准备；④妊娠或分娩前；⑤部分慢作用药物发挥疗效之前。常用剂量400mg·kg-1·d-1×5d或1000mg／kg给药1次(严重者每天1次、连用2d)。必要时可以重复。IVIg慎用于IgA缺乏、糖尿病和肾功能不全的患者。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成人ITP的二线治疗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(1)促血小板生成药物：</w:t>
      </w:r>
      <w:r>
        <w:rPr>
          <w:rFonts w:hint="eastAsia" w:ascii="仿宋_GB2312" w:hAnsi="仿宋_GB2312" w:eastAsia="仿宋_GB2312" w:cs="仿宋_GB2312"/>
          <w:sz w:val="32"/>
          <w:szCs w:val="32"/>
        </w:rPr>
        <w:t>包括重组人血小板生成素(rhTPO)、艾曲波帕(Eltrombopag)和罗米司亭 (romiplostim)，上述药物均有前瞻性多中心随机对照的临床研究数据支持。此类药物起效快(1～2周)，但停药后疗效一般不能维持，需要进行个体化的维持治疗。</w:t>
      </w:r>
      <w:r>
        <w:rPr>
          <w:rFonts w:hint="eastAsia" w:ascii="仿宋_GB2312" w:hAnsi="仿宋_GB2312" w:eastAsia="仿宋_GB2312" w:cs="仿宋_GB2312"/>
          <w:b/>
          <w:bCs/>
          <w:sz w:val="32"/>
          <w:szCs w:val="32"/>
        </w:rPr>
        <w:t>①rhTPO：</w:t>
      </w:r>
      <w:r>
        <w:rPr>
          <w:rFonts w:hint="eastAsia" w:ascii="仿宋_GB2312" w:hAnsi="仿宋_GB2312" w:eastAsia="仿宋_GB2312" w:cs="仿宋_GB2312"/>
          <w:sz w:val="32"/>
          <w:szCs w:val="32"/>
        </w:rPr>
        <w:t>rhTPO能结合巨核细胞膜上的受体c—Mpl，促进骨髓巨核细胞的增殖和分化，增加血小板计数。剂量：1．0ug·kg-1·d-1×14d，PLT≥100×109／L时停药。应用14d血小板计数不升者视为无效，应停药。</w:t>
      </w:r>
      <w:r>
        <w:rPr>
          <w:rFonts w:hint="eastAsia" w:ascii="仿宋_GB2312" w:hAnsi="仿宋_GB2312" w:eastAsia="仿宋_GB2312" w:cs="仿宋_GB2312"/>
          <w:b/>
          <w:bCs/>
          <w:sz w:val="32"/>
          <w:szCs w:val="32"/>
        </w:rPr>
        <w:t>②艾曲波帕：</w:t>
      </w:r>
      <w:r>
        <w:rPr>
          <w:rFonts w:hint="eastAsia" w:ascii="仿宋_GB2312" w:hAnsi="仿宋_GB2312" w:eastAsia="仿宋_GB2312" w:cs="仿宋_GB2312"/>
          <w:sz w:val="32"/>
          <w:szCs w:val="32"/>
        </w:rPr>
        <w:t>作用于TPO受体的跨膜结构域，Janus激酶／信号转导和转录激活因子(JAK／STAT)信号通路刺激巨核细胞生成，优点是通过口服给药。剂量：25mg／d(顿服)，根据血小板计数调整剂量，维持PLT≥50×109／L，PLT≥100×109／L时减量，PLT≥200×109／L时停药，最大剂量75mg／d。用药过程中需要监测肝功。</w:t>
      </w:r>
      <w:r>
        <w:rPr>
          <w:rFonts w:hint="eastAsia" w:ascii="仿宋_GB2312" w:hAnsi="仿宋_GB2312" w:eastAsia="仿宋_GB2312" w:cs="仿宋_GB2312"/>
          <w:b/>
          <w:bCs/>
          <w:sz w:val="32"/>
          <w:szCs w:val="32"/>
        </w:rPr>
        <w:t>③罗米司亭：</w:t>
      </w:r>
      <w:r>
        <w:rPr>
          <w:rFonts w:hint="eastAsia" w:ascii="仿宋_GB2312" w:hAnsi="仿宋_GB2312" w:eastAsia="仿宋_GB2312" w:cs="仿宋_GB2312"/>
          <w:sz w:val="32"/>
          <w:szCs w:val="32"/>
        </w:rPr>
        <w:t>是血小板生成素拟肽(Nplate，AMG531)，其作用于TPO受体的结合亚基，优点是可以每1—2周给药1次，首次应用从1ug／kg，每周1次皮下注射开始，若PLT&lt;50×109／L，则每周增加1ug／kg，最大剂量10ug／kg。若持续2周PLT≥100×109／L，开始每周减量1ug／kg。PLT≥200×109／L时停药。最大剂量应用4周血小板计数不升者视为无效，应停药。</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(2)抗CD20单克隆抗体(Rituximab，利妥昔单抗)：</w:t>
      </w:r>
      <w:r>
        <w:rPr>
          <w:rFonts w:hint="eastAsia" w:ascii="仿宋_GB2312" w:hAnsi="仿宋_GB2312" w:eastAsia="仿宋_GB2312" w:cs="仿宋_GB2312"/>
          <w:sz w:val="32"/>
          <w:szCs w:val="32"/>
        </w:rPr>
        <w:t>有前瞻性多中心随机对照的临床研究数据支持。主要机制是耗尽循环和淋巴结中的B淋巴细胞，增加调节性T细胞数量并增强其功能。推荐剂量：375mg／m2每周1次静脉滴注，共4次。一般在首次注射4～8周内起效。小剂量利妥昔单抗(100 mg每周1次，共4次)同样有效，但起效时间略长。</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(3)脾切除术：</w:t>
      </w:r>
      <w:r>
        <w:rPr>
          <w:rFonts w:hint="eastAsia" w:ascii="仿宋_GB2312" w:hAnsi="仿宋_GB2312" w:eastAsia="仿宋_GB2312" w:cs="仿宋_GB2312"/>
          <w:sz w:val="32"/>
          <w:szCs w:val="32"/>
        </w:rPr>
        <w:t>在脾切除前，必须对ITP的诊断作出重新评价，建议检测血小板抗体(MAIPA法或流式微球法)和TPO水平。脾切除指征：①糖皮质激素正规治疗无效，病程迁延6个月以上；②泼尼松治疗有效，但维持量大于30mg／d；③有使用糖皮质激素的禁忌证。对于切脾治疗无效或最初有效，随后复发的患者应进一步检查是否存在副脾。</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(4)其他二线药物治疗：</w:t>
      </w:r>
      <w:r>
        <w:rPr>
          <w:rFonts w:hint="eastAsia" w:ascii="仿宋_GB2312" w:hAnsi="仿宋_GB2312" w:eastAsia="仿宋_GB2312" w:cs="仿宋_GB2312"/>
          <w:sz w:val="32"/>
          <w:szCs w:val="32"/>
        </w:rPr>
        <w:t>由于缺乏足够的循证医学证据，以下药物需个体化选择治疗：</w:t>
      </w:r>
      <w:r>
        <w:rPr>
          <w:rFonts w:hint="eastAsia" w:ascii="仿宋_GB2312" w:hAnsi="仿宋_GB2312" w:eastAsia="仿宋_GB2312" w:cs="仿宋_GB2312"/>
          <w:b/>
          <w:bCs/>
          <w:sz w:val="32"/>
          <w:szCs w:val="32"/>
        </w:rPr>
        <w:t>①硫唑嘌呤：</w:t>
      </w:r>
      <w:r>
        <w:rPr>
          <w:rFonts w:hint="eastAsia" w:ascii="仿宋_GB2312" w:hAnsi="仿宋_GB2312" w:eastAsia="仿宋_GB2312" w:cs="仿宋_GB2312"/>
          <w:sz w:val="32"/>
          <w:szCs w:val="32"/>
        </w:rPr>
        <w:t>常用剂量为100～150mg／d(分2～3次口服)，根据患者白细胞计数调整剂量。不良反应为骨髓抑制、肝肾毒性。</w:t>
      </w:r>
      <w:r>
        <w:rPr>
          <w:rFonts w:hint="eastAsia" w:ascii="仿宋_GB2312" w:hAnsi="仿宋_GB2312" w:eastAsia="仿宋_GB2312" w:cs="仿宋_GB2312"/>
          <w:b/>
          <w:bCs/>
          <w:sz w:val="32"/>
          <w:szCs w:val="32"/>
        </w:rPr>
        <w:t>②环孢素A：</w:t>
      </w:r>
      <w:r>
        <w:rPr>
          <w:rFonts w:hint="eastAsia" w:ascii="仿宋_GB2312" w:hAnsi="仿宋_GB2312" w:eastAsia="仿宋_GB2312" w:cs="仿宋_GB2312"/>
          <w:sz w:val="32"/>
          <w:szCs w:val="32"/>
        </w:rPr>
        <w:t>常用剂量为5mg·kg-1·d-1(分2次口服)，根据血药浓度调整剂量。不良反应包括肝肾损害、齿龈增生、毛发增多、高血压、癫痫 等，用药期间应监测肝、肾功能。</w:t>
      </w:r>
      <w:r>
        <w:rPr>
          <w:rFonts w:hint="eastAsia" w:ascii="仿宋_GB2312" w:hAnsi="仿宋_GB2312" w:eastAsia="仿宋_GB2312" w:cs="仿宋_GB2312"/>
          <w:b/>
          <w:bCs/>
          <w:sz w:val="32"/>
          <w:szCs w:val="32"/>
        </w:rPr>
        <w:t>③达那唑：</w:t>
      </w:r>
      <w:r>
        <w:rPr>
          <w:rFonts w:hint="eastAsia" w:ascii="仿宋_GB2312" w:hAnsi="仿宋_GB2312" w:eastAsia="仿宋_GB2312" w:cs="仿宋_GB2312"/>
          <w:sz w:val="32"/>
          <w:szCs w:val="32"/>
        </w:rPr>
        <w:t>常用剂量为400～800mg／d(分2～3次口服)，起效慢，需持续使用3～6个月。与肾上腺糖皮质激素联合可减少肾上腺糖皮质激素用量。达那唑的不良反应主要为肝功损害、月经减少，偶有多毛发生，停药后可恢复。对月经过多者尤为适用。</w:t>
      </w:r>
      <w:r>
        <w:rPr>
          <w:rFonts w:hint="eastAsia" w:ascii="仿宋_GB2312" w:hAnsi="仿宋_GB2312" w:eastAsia="仿宋_GB2312" w:cs="仿宋_GB2312"/>
          <w:b/>
          <w:bCs/>
          <w:sz w:val="32"/>
          <w:szCs w:val="32"/>
        </w:rPr>
        <w:t>④长春碱类：</w:t>
      </w:r>
      <w:r>
        <w:rPr>
          <w:rFonts w:hint="eastAsia" w:ascii="仿宋_GB2312" w:hAnsi="仿宋_GB2312" w:eastAsia="仿宋_GB2312" w:cs="仿宋_GB2312"/>
          <w:sz w:val="32"/>
          <w:szCs w:val="32"/>
        </w:rPr>
        <w:t>长春新碱1．4mg／m2(最大剂量为2mg／m2)或长春花碱酰胺4mg，每周1次，共4次，缓慢静脉滴注。不良反应主要有周围神经炎、脱发、便秘和白细胞减少等。</w:t>
      </w:r>
      <w:r>
        <w:rPr>
          <w:rFonts w:hint="eastAsia" w:ascii="仿宋_GB2312" w:hAnsi="仿宋_GB2312" w:eastAsia="仿宋_GB2312" w:cs="仿宋_GB2312"/>
          <w:b/>
          <w:bCs/>
          <w:sz w:val="32"/>
          <w:szCs w:val="32"/>
        </w:rPr>
        <w:t>⑤霉酚酸酯(mycophenolate mofetil，MMF)：</w:t>
      </w:r>
      <w:r>
        <w:rPr>
          <w:rFonts w:hint="eastAsia" w:ascii="仿宋_GB2312" w:hAnsi="仿宋_GB2312" w:eastAsia="仿宋_GB2312" w:cs="仿宋_GB2312"/>
          <w:sz w:val="32"/>
          <w:szCs w:val="32"/>
        </w:rPr>
        <w:t>辅助免疫抑制剂，其联合类固醇治疗的目的是缩 短患者达到CR所用时间，尽快停用类固醇药物。</w:t>
      </w:r>
      <w:r>
        <w:rPr>
          <w:rFonts w:hint="eastAsia" w:ascii="仿宋_GB2312" w:hAnsi="仿宋_GB2312" w:eastAsia="仿宋_GB2312" w:cs="仿宋_GB2312"/>
          <w:b/>
          <w:bCs/>
          <w:sz w:val="32"/>
          <w:szCs w:val="32"/>
        </w:rPr>
        <w:t>⑥环磷酰胺：</w:t>
      </w:r>
      <w:r>
        <w:rPr>
          <w:rFonts w:hint="eastAsia" w:ascii="仿宋_GB2312" w:hAnsi="仿宋_GB2312" w:eastAsia="仿宋_GB2312" w:cs="仿宋_GB2312"/>
          <w:sz w:val="32"/>
          <w:szCs w:val="32"/>
        </w:rPr>
        <w:t>烷化剂，它依赖活性磷酰胺芥子代谢物的生物活化来发挥其治疗效果。单独使用环磷酰胺或者联合化疗来治疗ITP可导致血小板自身抗体水平下降。REINER等使用脉冲环磷酰胺(快速静脉内输注1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59／m2的环磷酰胺，每4周1次)治疗20名难治性ITP患者，初始疗程完全缓解率为65％，总缓解率为85％，长期反应率为65％。研究证实了脉冲环磷酰胺疗法对难治性ITP有效，但脉冲环磷酰胺的剂量和治疗方案还不明确，需要更多的大规模前瞻性的I临床试验来确定。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难治性ITP的联合用药：</w:t>
      </w:r>
      <w:r>
        <w:rPr>
          <w:rFonts w:hint="eastAsia" w:ascii="仿宋_GB2312" w:hAnsi="仿宋_GB2312" w:eastAsia="仿宋_GB2312" w:cs="仿宋_GB2312"/>
          <w:sz w:val="32"/>
          <w:szCs w:val="32"/>
        </w:rPr>
        <w:t>小部分ITP患者，临床经一线、二线治疗，仍效果不理想，为难治性ITP，可考虑药物联合。</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（1）不同作用机制的药物联合：</w:t>
      </w:r>
      <w:r>
        <w:rPr>
          <w:rFonts w:hint="eastAsia" w:ascii="仿宋_GB2312" w:hAnsi="仿宋_GB2312" w:eastAsia="仿宋_GB2312" w:cs="仿宋_GB2312"/>
          <w:sz w:val="32"/>
          <w:szCs w:val="32"/>
          <w:lang w:val="en-US" w:eastAsia="zh-CN"/>
        </w:rPr>
        <w:t xml:space="preserve">①罗米司亭加糖皮质激素；②艾曲波帕联合糖皮质激素；③rhTPO联合环孢菌素A。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（2）不同时间窗和不同机制的药物联合：</w:t>
      </w:r>
      <w:r>
        <w:rPr>
          <w:rFonts w:hint="eastAsia" w:ascii="仿宋_GB2312" w:hAnsi="仿宋_GB2312" w:eastAsia="仿宋_GB2312" w:cs="仿宋_GB2312"/>
          <w:sz w:val="32"/>
          <w:szCs w:val="32"/>
          <w:lang w:val="en-US" w:eastAsia="zh-CN"/>
        </w:rPr>
        <w:t>①利妥昔单抗联合糖皮质激素；②利妥昔单抗联合糖皮质激素联合环孢菌素；③利妥昔单抗联合罗米司亭联合长春新碱。</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（3）不同时间窗的药物联合：</w:t>
      </w:r>
      <w:r>
        <w:rPr>
          <w:rFonts w:hint="eastAsia" w:ascii="仿宋_GB2312" w:hAnsi="仿宋_GB2312" w:eastAsia="仿宋_GB2312" w:cs="仿宋_GB2312"/>
          <w:sz w:val="32"/>
          <w:szCs w:val="32"/>
          <w:lang w:val="en-US" w:eastAsia="zh-CN"/>
        </w:rPr>
        <w:t xml:space="preserve">利妥昔单抗联合rhTPO。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ITP治疗新进展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6.1 阿托伐他汀：</w:t>
      </w:r>
      <w:r>
        <w:rPr>
          <w:rFonts w:hint="eastAsia" w:ascii="仿宋_GB2312" w:hAnsi="仿宋_GB2312" w:eastAsia="仿宋_GB2312" w:cs="仿宋_GB2312"/>
          <w:sz w:val="32"/>
          <w:szCs w:val="32"/>
        </w:rPr>
        <w:t xml:space="preserve">他汀类药物，它可以改善内皮祖细胞的数量和功能。有研究表明骨髓内皮祖细胞可能参与皮质类固醇耐受性ITP的发病机制。有研究给予13名ITP患者给予阿托伐他汀治疗，口服20mg／d，9名(占总数的69％)患者得到缓解。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6.2 小剂量地西他滨(decitabine，DAC)：</w:t>
      </w:r>
      <w:r>
        <w:rPr>
          <w:rFonts w:hint="eastAsia" w:ascii="仿宋_GB2312" w:hAnsi="仿宋_GB2312" w:eastAsia="仿宋_GB2312" w:cs="仿宋_GB2312"/>
          <w:sz w:val="32"/>
          <w:szCs w:val="32"/>
        </w:rPr>
        <w:t xml:space="preserve">该药通过抑制DNA甲基转移酶，减少DNA的甲基化。有研究证实DNA甲基化在ITP发病中起一定作用，低剂量DAC可能是ITP的一种潜在治疗方法，但目前还未得到进一步的临床试验来证实。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6.3 硼替佐米：</w:t>
      </w:r>
      <w:r>
        <w:rPr>
          <w:rFonts w:hint="eastAsia" w:ascii="仿宋_GB2312" w:hAnsi="仿宋_GB2312" w:eastAsia="仿宋_GB2312" w:cs="仿宋_GB2312"/>
          <w:sz w:val="32"/>
          <w:szCs w:val="32"/>
        </w:rPr>
        <w:t xml:space="preserve">蛋白酶体抑制剂，有研究发现在ITP小鼠模型中硼替佐米减轻了血小板减少的严重程度。但硼替佐米的治疗作用需进一步研究。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6.4 靶向药物：</w:t>
      </w:r>
      <w:r>
        <w:rPr>
          <w:rFonts w:hint="eastAsia" w:ascii="仿宋_GB2312" w:hAnsi="仿宋_GB2312" w:eastAsia="仿宋_GB2312" w:cs="仿宋_GB2312"/>
          <w:sz w:val="32"/>
          <w:szCs w:val="32"/>
        </w:rPr>
        <w:t>新型治疗药物如抗CD40L抗体、抗CD52抗体、TNF拮抗剂、Syk抑制剂等分子靶向药物的面世，开辟了治疗难治性ITP的新途径。新型药物的长期有效性和安全性仍需临床研究证实。</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总之，成人ITP患者在临床中不少见，初始一线的治疗方案多有良好的治疗获益，但由于疾病高复发，逐渐发展为难治性，对更多靶点的研究可能带来新的治疗机遇。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bCs/>
          <w:color w:val="000000" w:themeColor="text1"/>
          <w:spacing w:val="8"/>
          <w:sz w:val="32"/>
          <w:szCs w:val="32"/>
          <w:shd w:val="clear" w:color="auto" w:fill="FFFFFF"/>
          <w:lang w:eastAsia="zh-CN"/>
          <w14:textFill>
            <w14:solidFill>
              <w14:schemeClr w14:val="tx1"/>
            </w14:solidFill>
          </w14:textFill>
        </w:rPr>
        <w:t>附测试题</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1、（</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）是ITP病人血小板相关抗体的产生部位。</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A、肝     B、胃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 C、脾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D、肾脏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2、（</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）血血小板主要的破坏场所。</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A、肝     B、胃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C、脾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 D、肾脏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3、（</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）为ITP的首选药物</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A、雄性激素   B、糖皮质激素   C、抗生素  D、维生素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4、ITP的主要发病机制为（</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A、体液免疫  B、细胞免疫  C、病毒感染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D、遗传因素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5、ITP患者出血的主要特点（</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A、皮肤粘膜自发性出血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B、颅内出血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C、消化道出血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D、关节血肿</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6、不符合ITP实验室检查的是（</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A、血小板计数减少     B、骨髓巨核细胞数增多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C、血细胞形态正常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D、血小板生成素(TPO)检测升高</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7、拔牙或补牙，血小板应（</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A、≥20x10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／L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B、≥30x10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／L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C、≥40x10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／L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D、≥50x10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／L</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8、（</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）不属于ITP的急症处理。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A、血小板输注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B、静脉注射免疫球蛋白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C、大剂量甲泼尼龙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D、免疫抑制剂</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9、新发ITP患者，一线治疗正确的是</w:t>
      </w:r>
      <w:r>
        <w:rPr>
          <w:rFonts w:hint="eastAsia" w:ascii="仿宋_GB2312" w:hAnsi="仿宋_GB2312" w:eastAsia="仿宋_GB2312" w:cs="仿宋_GB2312"/>
          <w:color w:val="000000" w:themeColor="text1"/>
          <w:spacing w:val="8"/>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A、泼尼松1.0 mg·kg</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-1</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-1</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(分次或顿服)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B、泼尼松2.0 mg·kg</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-1</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-1</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(分次或顿服)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C、地塞米松 40mg／d×7d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D、地塞米松 20mg／d×7d</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10、对新发ITP病人入院时健康教育，不正确有</w:t>
      </w:r>
      <w:r>
        <w:rPr>
          <w:rFonts w:hint="eastAsia" w:ascii="仿宋_GB2312" w:hAnsi="仿宋_GB2312" w:eastAsia="仿宋_GB2312" w:cs="仿宋_GB2312"/>
          <w:color w:val="000000" w:themeColor="text1"/>
          <w:spacing w:val="8"/>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lang w:eastAsia="zh-CN"/>
          <w14:textFill>
            <w14:solidFill>
              <w14:schemeClr w14:val="tx1"/>
            </w14:solidFill>
          </w14:textFill>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A、避免便秘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B、避免用力咳嗽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C、可以服用非甾体类抗炎药   </w:t>
      </w:r>
      <w:r>
        <w:rPr>
          <w:rFonts w:hint="eastAsia" w:ascii="仿宋_GB2312" w:hAnsi="仿宋_GB2312" w:eastAsia="仿宋_GB2312" w:cs="仿宋_GB2312"/>
          <w:color w:val="000000" w:themeColor="text1"/>
          <w:spacing w:val="8"/>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D、注意控制血压</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3354C"/>
    <w:rsid w:val="19B31700"/>
    <w:rsid w:val="1AA3354C"/>
    <w:rsid w:val="62E15F5E"/>
    <w:rsid w:val="792210E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uiPriority w:val="0"/>
    <w:pPr>
      <w:snapToGrid w:val="0"/>
      <w:jc w:val="left"/>
    </w:pPr>
    <w:rPr>
      <w:sz w:val="18"/>
      <w:szCs w:val="18"/>
    </w:rPr>
  </w:style>
  <w:style w:type="character" w:styleId="6">
    <w:name w:val="footnote reference"/>
    <w:basedOn w:val="5"/>
    <w:uiPriority w:val="0"/>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2021-02-18T00:15:00Z</dcterms:created>
  <dc:creator>lenovo</dc:creator>
  <cp:lastModifiedBy>user</cp:lastModifiedBy>
  <dcterms:modified xsi:type="dcterms:W3CDTF">2021-04-01T08:49:14Z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